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825" w:leader="none"/>
        </w:tabs>
        <w:rPr>
          <w:rFonts w:ascii="Times New Roman" w:hAnsi="Times New Roman"/>
        </w:rPr>
      </w:pPr>
      <w:r>
        <w:rPr>
          <w:color w:val="000000"/>
          <w:sz w:val="28"/>
          <w:szCs w:val="28"/>
        </w:rPr>
        <w:t>Wsz-II.4.291.</w:t>
      </w:r>
      <w:r>
        <w:rPr>
          <w:color w:val="000000"/>
          <w:sz w:val="28"/>
          <w:szCs w:val="28"/>
        </w:rPr>
        <w:t>60.2018</w:t>
      </w:r>
      <w:r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Załącznik nr 5</w:t>
      </w:r>
      <w:r>
        <w:rPr>
          <w:color w:val="000000"/>
          <w:sz w:val="28"/>
          <w:szCs w:val="28"/>
        </w:rPr>
        <w:t xml:space="preserve">                                                          </w:t>
      </w:r>
    </w:p>
    <w:p>
      <w:pPr>
        <w:pStyle w:val="Normal"/>
        <w:tabs>
          <w:tab w:val="left" w:pos="4825" w:leader="none"/>
        </w:tabs>
        <w:rPr>
          <w:rFonts w:ascii="Times New Roman" w:hAnsi="Times New Roman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</w:t>
      </w:r>
    </w:p>
    <w:p>
      <w:pPr>
        <w:pStyle w:val="Normal"/>
        <w:rPr>
          <w:rFonts w:ascii="Times New Roman" w:hAnsi="Times New Roman"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rPr>
          <w:rFonts w:ascii="Times New Roman" w:hAnsi="Times New Roman"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rPr/>
      </w:pPr>
      <w:r>
        <w:rPr>
          <w:rFonts w:cs="Arial"/>
          <w:b/>
          <w:sz w:val="28"/>
          <w:szCs w:val="28"/>
        </w:rPr>
        <w:t>Wykaz gaśnic i hydrantów</w:t>
      </w:r>
    </w:p>
    <w:p>
      <w:pPr>
        <w:pStyle w:val="Normal"/>
        <w:rPr/>
      </w:pPr>
      <w:r>
        <w:rPr>
          <w:rFonts w:cs="Arial"/>
          <w:b/>
          <w:sz w:val="28"/>
          <w:szCs w:val="28"/>
        </w:rPr>
        <w:t xml:space="preserve">do przeglądu i konserwacji  </w:t>
      </w:r>
    </w:p>
    <w:p>
      <w:pPr>
        <w:pStyle w:val="Normal"/>
        <w:rPr>
          <w:rFonts w:ascii="Times New Roman" w:hAnsi="Times New Roman" w:cs="Arial"/>
          <w:b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1.Roczny Przegląd gaśnic: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GP-1Z      -       9 szt.   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GP-1X       -       1 szt.  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GP-2X       -     89 szt.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GP-2Z       -      12 szt.  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UGS-2X     -      2 szt.    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GWF-3X     -     1 szt.    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GP-4X        -    86 szt. 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GP-6X        -    22 szt.   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GP-6Z        -      6 szt.   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GP-9X        -      1 szt.      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GS-5X        -      9 szt.    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Razem:   -      238 szt.    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  <w:t>Przeglądy nie obejmują napraw gaśnic. (Naprawy wykonywane są co 5 lat)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Arial" w:hAnsi="Arial" w:cs="Arial"/>
          <w:b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2. Roczny przegląd i badanie wydajności hydrantów;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  <w:t>Badania wydajności hydrantów obejmuje próba ciśnieniowa węży hydrantowych (co 5 lat)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Hydrant zewnętrzny DN-80   -       6 szt. 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>Hydrant wewnętrzny DN-25  -     62 szt. .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Hydrant wewnętrzny DN-52   -    60 szt.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Razem:                                   -   128 szt. 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Uwaga:</w:t>
      </w:r>
    </w:p>
    <w:p>
      <w:pPr>
        <w:pStyle w:val="Normal"/>
        <w:tabs>
          <w:tab w:val="center" w:pos="3420" w:leader="none"/>
          <w:tab w:val="left" w:pos="5580" w:leader="none"/>
        </w:tabs>
        <w:ind w:left="360" w:hanging="0"/>
        <w:jc w:val="both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W trakcie co rocznych przeglądów hydrantów wewnętrznych należy przeprowadzić  5 letnie ciśnieniowe badania  wytrzymałości i szczelności  węży hydrantowych, których ważność się w danym roku kończy!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/>
        </w:rPr>
      </w:pPr>
      <w:r>
        <w:rPr>
          <w:rFonts w:cs="Arial"/>
          <w:b/>
          <w:bCs/>
          <w:sz w:val="28"/>
          <w:szCs w:val="28"/>
        </w:rPr>
        <w:t xml:space="preserve">     </w:t>
      </w:r>
      <w:r>
        <w:rPr>
          <w:rFonts w:cs="Arial"/>
          <w:b/>
          <w:bCs/>
          <w:sz w:val="28"/>
          <w:szCs w:val="28"/>
        </w:rPr>
        <w:t>Przeglądy i konserwacje gaśnic i hydrantów należy przeprowadzić 1 raz      w roku w terminach uzgodnionych ze zleceniodawcą.</w:t>
      </w:r>
      <w:r>
        <w:rPr>
          <w:rFonts w:cs="Arial" w:ascii="Arial" w:hAnsi="Arial"/>
          <w:b/>
          <w:bCs/>
          <w:sz w:val="28"/>
          <w:szCs w:val="28"/>
        </w:rPr>
        <w:t xml:space="preserve">  </w:t>
      </w:r>
    </w:p>
    <w:p>
      <w:pPr>
        <w:pStyle w:val="Normal"/>
        <w:tabs>
          <w:tab w:val="center" w:pos="3420" w:leader="none"/>
          <w:tab w:val="left" w:pos="5580" w:leader="none"/>
        </w:tabs>
        <w:ind w:left="360" w:hanging="0"/>
        <w:jc w:val="both"/>
        <w:rPr>
          <w:rFonts w:ascii="Times New Roman" w:hAnsi="Times New Roman"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</w:r>
    </w:p>
    <w:p>
      <w:pPr>
        <w:pStyle w:val="Normal"/>
        <w:tabs>
          <w:tab w:val="center" w:pos="3420" w:leader="none"/>
          <w:tab w:val="left" w:pos="5580" w:leader="none"/>
        </w:tabs>
        <w:ind w:left="360" w:hanging="0"/>
        <w:jc w:val="both"/>
        <w:rPr>
          <w:rFonts w:ascii="Times New Roman" w:hAnsi="Times New Roman"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</w:r>
    </w:p>
    <w:p>
      <w:pPr>
        <w:pStyle w:val="Normal"/>
        <w:tabs>
          <w:tab w:val="center" w:pos="3420" w:leader="none"/>
          <w:tab w:val="left" w:pos="5580" w:leader="none"/>
        </w:tabs>
        <w:ind w:left="360" w:hanging="0"/>
        <w:jc w:val="both"/>
        <w:rPr>
          <w:rFonts w:ascii="Times New Roman" w:hAnsi="Times New Roman"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</w:r>
    </w:p>
    <w:p>
      <w:pPr>
        <w:pStyle w:val="Normal"/>
        <w:tabs>
          <w:tab w:val="center" w:pos="3420" w:leader="none"/>
          <w:tab w:val="left" w:pos="5580" w:leader="none"/>
        </w:tabs>
        <w:ind w:left="360" w:hanging="0"/>
        <w:jc w:val="both"/>
        <w:rPr>
          <w:rFonts w:ascii="Times New Roman" w:hAnsi="Times New Roman"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</w:r>
    </w:p>
    <w:p>
      <w:pPr>
        <w:pStyle w:val="Normal"/>
        <w:tabs>
          <w:tab w:val="center" w:pos="3420" w:leader="none"/>
          <w:tab w:val="left" w:pos="5580" w:leader="none"/>
        </w:tabs>
        <w:ind w:left="360" w:hanging="0"/>
        <w:jc w:val="both"/>
        <w:rPr>
          <w:rFonts w:ascii="Times New Roman" w:hAnsi="Times New Roman"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</w:r>
    </w:p>
    <w:p>
      <w:pPr>
        <w:pStyle w:val="Normal"/>
        <w:tabs>
          <w:tab w:val="center" w:pos="3420" w:leader="none"/>
          <w:tab w:val="left" w:pos="5580" w:leader="none"/>
        </w:tabs>
        <w:ind w:hanging="0"/>
        <w:jc w:val="both"/>
        <w:rPr>
          <w:rFonts w:ascii="Times New Roman" w:hAnsi="Times New Roman" w:cs="Arial"/>
          <w:bCs/>
        </w:rPr>
      </w:pPr>
      <w:r>
        <w:rPr>
          <w:rFonts w:cs="Arial"/>
          <w:bCs/>
        </w:rPr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</w:r>
    </w:p>
    <w:p>
      <w:pPr>
        <w:pStyle w:val="Normal"/>
        <w:tabs>
          <w:tab w:val="center" w:pos="3420" w:leader="none"/>
          <w:tab w:val="left" w:pos="5580" w:leader="none"/>
        </w:tabs>
        <w:ind w:left="360" w:hanging="0"/>
        <w:jc w:val="both"/>
        <w:rPr>
          <w:rFonts w:ascii="Times New Roman" w:hAnsi="Times New Roman"/>
        </w:rPr>
      </w:pPr>
      <w:r>
        <w:rPr>
          <w:rFonts w:eastAsia="Times New Roman" w:cs="Arial"/>
          <w:b/>
          <w:sz w:val="28"/>
          <w:szCs w:val="28"/>
          <w:lang w:eastAsia="pl-PL" w:bidi="ar-SA"/>
        </w:rPr>
        <w:t>Szczegółowy zakres konserwacji podstawowej gaśnic obejmuje:</w:t>
      </w:r>
    </w:p>
    <w:p>
      <w:pPr>
        <w:pStyle w:val="Normal"/>
        <w:tabs>
          <w:tab w:val="center" w:pos="3420" w:leader="none"/>
          <w:tab w:val="left" w:pos="5580" w:leader="none"/>
        </w:tabs>
        <w:ind w:left="360" w:hanging="0"/>
        <w:jc w:val="both"/>
        <w:rPr>
          <w:rFonts w:ascii="Arial" w:hAnsi="Arial" w:eastAsia="Times New Roman" w:cs="Arial"/>
          <w:b/>
          <w:b/>
          <w:bCs/>
          <w:sz w:val="32"/>
          <w:szCs w:val="32"/>
          <w:lang w:eastAsia="pl-PL" w:bidi="ar-SA"/>
        </w:rPr>
      </w:pPr>
      <w:r>
        <w:rPr>
          <w:rFonts w:eastAsia="Times New Roman" w:cs="Arial" w:ascii="Arial" w:hAnsi="Arial"/>
          <w:b/>
          <w:bCs/>
          <w:sz w:val="32"/>
          <w:szCs w:val="32"/>
          <w:lang w:eastAsia="pl-PL" w:bidi="ar-SA"/>
        </w:rPr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czy gaśnice  nie były uruchamiane.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plomb i zawleczek, ewentualne uzupełnienie w przypadku ich braku (koszt zawleczek i plomb należy uwzględnić w zryczałtowanej cenie konserwacji podstawowej).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działania wskaźnika ciśnienia.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Pomiar ciśnienia wewnątrz gaśnic – dla gaśnic będących stale pod ciśnieniem bez zainstalowanego wskaźnika ciśnienia (nie dotyczy gaśnic napełnionych dwutlenkiem węgla).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Oględziny zewnętrzne, ze szczególnym uwzględnieniem stanu technicznego zbiornika (ślady korozji, wgniecenia lub inne uszkodzenia wpływające na sprawność techniczną).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masy dwutlenku węgla, zgodnie z zaleceniami producenta gaśnicy napełnionej dwutlenkiem węgla.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masy czynnika napędowego oraz stanu zbiornika na ten czynnik – w gaśnicach z czynnikiem napędowym w oddzielnym zbiorniku.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 xml:space="preserve">Sprawdzenie urządzeń do uruchamiania: </w:t>
      </w:r>
    </w:p>
    <w:p>
      <w:pPr>
        <w:pStyle w:val="Normal"/>
        <w:widowControl/>
        <w:numPr>
          <w:ilvl w:val="0"/>
          <w:numId w:val="2"/>
        </w:numPr>
        <w:tabs>
          <w:tab w:val="left" w:pos="851" w:leader="none"/>
        </w:tabs>
        <w:suppressAutoHyphens w:val="false"/>
        <w:ind w:left="851" w:hanging="284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w gaśnicach z czynnikiem napędowym w oddzielnych zbiornikach – wyczyścić i przedmuchać powietrzem, sprawdzić drożność przewodów, otworów do odpowietrzania, filtrów, zabezpieczyć smarem (określonym przez producenta) części ruchome i gwinty,</w:t>
      </w:r>
    </w:p>
    <w:p>
      <w:pPr>
        <w:pStyle w:val="Normal"/>
        <w:widowControl/>
        <w:numPr>
          <w:ilvl w:val="0"/>
          <w:numId w:val="2"/>
        </w:numPr>
        <w:tabs>
          <w:tab w:val="left" w:pos="851" w:leader="none"/>
        </w:tabs>
        <w:suppressAutoHyphens w:val="false"/>
        <w:ind w:left="851" w:hanging="284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w gaśnicach będących stale pod ciśnieniem ze zdejmowanym urządzeniem służącym do uruchamiania – zdjąć i sprawdzić to urządzenie, oczyścić urządzenie, zabezpieczyć smarem (określonym przez producenta) części ruchome i gwinty,</w:t>
      </w:r>
    </w:p>
    <w:p>
      <w:pPr>
        <w:pStyle w:val="Normal"/>
        <w:widowControl/>
        <w:numPr>
          <w:ilvl w:val="0"/>
          <w:numId w:val="2"/>
        </w:numPr>
        <w:tabs>
          <w:tab w:val="left" w:pos="851" w:leader="none"/>
        </w:tabs>
        <w:suppressAutoHyphens w:val="false"/>
        <w:ind w:left="851" w:hanging="284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w gaśnicach z dwutlenkiem węgla – sprawdzić zawór zgodnie z zalecaniami producenta gaśnic.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i oczyszczenie urządzenia do przerywania wypływu środka gaśniczego, jeżeli zostało zainstalowane w gaśnicy.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stanu węży, dysz i prądownic.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Wymiana uszczelek i podkładek – zgodnie z zaleceniami producenta (koszt uszczelek i podkładek należy uwzględnić w zryczałtowanej cenie konserwacji podstawowej).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stanu środka gaśniczego (spulchnienie proszku gaśniczego).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stanu wieszaków i uchwytów oraz ich zamocowania.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kompletności, czytelności i prawidłowości napisów oraz oznakowań umieszczonych na gaśnicy.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Sprawdzenie pozostałych parametrów technicznych zgodnie z zaleceniami producenta oraz obowiązującymi normami.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Przegląd i ocena techniczna układu jezdnego agregatu gaśniczego.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Określenie przydatności (sprawności) sprzętu.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Oznakowanie gaśnicy kontrolką lub/oraz oznakowaniem wskazującym zalecane dalsze działania (konserwacja rozszerzona, remont, naprawa, utylizacja).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Dokonanie stosownych wpisów do protokołu konserwacji podstawowej.</w:t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center" w:pos="3420" w:leader="none"/>
          <w:tab w:val="left" w:pos="5580" w:leader="none"/>
        </w:tabs>
        <w:jc w:val="both"/>
        <w:rPr>
          <w:rFonts w:ascii="Times New Roman" w:hAnsi="Times New Roman" w:cs="Arial"/>
          <w:b/>
          <w:b/>
        </w:rPr>
      </w:pPr>
      <w:r>
        <w:rPr>
          <w:rFonts w:cs="Arial"/>
          <w:b/>
        </w:rPr>
      </w:r>
    </w:p>
    <w:p>
      <w:pPr>
        <w:pStyle w:val="Normal"/>
        <w:widowControl/>
        <w:ind w:left="357" w:hanging="0"/>
        <w:jc w:val="both"/>
        <w:rPr>
          <w:rFonts w:ascii="Times New Roman" w:hAnsi="Times New Roman"/>
        </w:rPr>
      </w:pPr>
      <w:r>
        <w:rPr>
          <w:rFonts w:eastAsia="Times New Roman" w:cs="Arial"/>
          <w:b/>
          <w:sz w:val="28"/>
          <w:szCs w:val="28"/>
          <w:lang w:eastAsia="pl-PL" w:bidi="ar-SA"/>
        </w:rPr>
        <w:t>Szczegółowy zakres przeglądu i konserwacji hydrantów  oraz zaworów hydrantowych</w:t>
      </w:r>
    </w:p>
    <w:p>
      <w:pPr>
        <w:pStyle w:val="Normal"/>
        <w:widowControl/>
        <w:ind w:left="357" w:hanging="0"/>
        <w:jc w:val="both"/>
        <w:rPr>
          <w:rFonts w:ascii="Arial" w:hAnsi="Arial" w:eastAsia="Times New Roman" w:cs="Arial"/>
          <w:b/>
          <w:b/>
          <w:lang w:eastAsia="pl-PL" w:bidi="ar-SA"/>
        </w:rPr>
      </w:pPr>
      <w:r>
        <w:rPr>
          <w:rFonts w:eastAsia="Times New Roman" w:cs="Arial" w:ascii="Arial" w:hAnsi="Arial"/>
          <w:b/>
          <w:lang w:eastAsia="pl-PL" w:bidi="ar-SA"/>
        </w:rPr>
      </w:r>
    </w:p>
    <w:p>
      <w:pPr>
        <w:pStyle w:val="Normal"/>
        <w:widowControl/>
        <w:numPr>
          <w:ilvl w:val="0"/>
          <w:numId w:val="3"/>
        </w:numPr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Przeglądy i konserwacje hydrantów  należy wykonywać zgodnie z zapisami aktualnej normy PN-EN 671-3 Stałe urządzenia gaśnicze. Hydranty wewnętrzne. Część 3: Konserwacja hydrantów wewnętrznych z wężem półsztywnym i hydrantów wewnętrznych z wężem płasko składanym.</w:t>
      </w:r>
    </w:p>
    <w:p>
      <w:pPr>
        <w:pStyle w:val="Normal"/>
        <w:widowControl/>
        <w:numPr>
          <w:ilvl w:val="0"/>
          <w:numId w:val="3"/>
        </w:numPr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Protokół przeglądu i kontroli hydrantów wewnętrznych oraz zaworów hydrantowych musi zawierać dane określone w normie PN-EN 671-3, a ponadto:</w:t>
      </w:r>
    </w:p>
    <w:p>
      <w:pPr>
        <w:pStyle w:val="Normal"/>
        <w:widowControl/>
        <w:numPr>
          <w:ilvl w:val="0"/>
          <w:numId w:val="4"/>
        </w:numPr>
        <w:tabs>
          <w:tab w:val="left" w:pos="993" w:leader="none"/>
        </w:tabs>
        <w:ind w:left="993" w:hanging="426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typ, numer seryjny oraz potwierdzenie legalizacji miernika stosowanego do pomiaru przepływu i ciśnienia,</w:t>
      </w:r>
    </w:p>
    <w:p>
      <w:pPr>
        <w:pStyle w:val="Normal"/>
        <w:widowControl/>
        <w:numPr>
          <w:ilvl w:val="0"/>
          <w:numId w:val="4"/>
        </w:numPr>
        <w:tabs>
          <w:tab w:val="left" w:pos="993" w:leader="none"/>
        </w:tabs>
        <w:ind w:left="993" w:hanging="426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imiona i nazwiska oraz podpisy osób wykonujących przeglądy, konserwacje oraz pomiary,</w:t>
      </w:r>
    </w:p>
    <w:p>
      <w:pPr>
        <w:pStyle w:val="Normal"/>
        <w:rPr>
          <w:rFonts w:ascii="Arial" w:hAnsi="Arial" w:cs="Arial"/>
        </w:rPr>
      </w:pPr>
      <w:r>
        <w:rPr>
          <w:rFonts w:eastAsia="Times New Roman" w:cs="Arial"/>
          <w:sz w:val="26"/>
          <w:szCs w:val="26"/>
          <w:lang w:eastAsia="pl-PL" w:bidi="ar-SA"/>
        </w:rPr>
        <w:t>rodzaju, ilości i rozmieszczenia sprzętu, który należy poddać naprawie polegającej na wymianie kompletnych podzespołów (zgodnych z wykazami części zamiennych określonych przez producenta sprzętu danego typu) – z podaniem nazw podzespołów przeznaczonych do wymiany</w:t>
      </w:r>
    </w:p>
    <w:p>
      <w:pPr>
        <w:pStyle w:val="Normal"/>
        <w:rPr>
          <w:rFonts w:ascii="Times New Roman" w:hAnsi="Times New Roman"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rPr>
          <w:rFonts w:ascii="Times New Roman" w:hAnsi="Times New Roman"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widowControl/>
        <w:jc w:val="both"/>
        <w:rPr>
          <w:rFonts w:ascii="Arial" w:hAnsi="Arial" w:eastAsia="Times New Roman" w:cs="Arial"/>
          <w:b/>
          <w:b/>
          <w:u w:val="single"/>
          <w:lang w:eastAsia="pl-PL" w:bidi="ar-SA"/>
        </w:rPr>
      </w:pPr>
      <w:r>
        <w:rPr>
          <w:rFonts w:eastAsia="Times New Roman" w:cs="Arial"/>
          <w:b/>
          <w:sz w:val="26"/>
          <w:szCs w:val="26"/>
          <w:u w:val="single"/>
          <w:lang w:eastAsia="pl-PL" w:bidi="ar-SA"/>
        </w:rPr>
        <w:t>Szczegółowy zakres okresowego przeglądu i konserwacji węży hydrantowych.</w:t>
      </w:r>
    </w:p>
    <w:p>
      <w:pPr>
        <w:pStyle w:val="Normal"/>
        <w:widowControl/>
        <w:numPr>
          <w:ilvl w:val="0"/>
          <w:numId w:val="5"/>
        </w:numPr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Próby ciśnieniowe węży należy wykonywać zgodnie z zapisami aktualnej normy PN-EN 671-1 oraz norm w niej przywołanych.</w:t>
      </w:r>
    </w:p>
    <w:p>
      <w:pPr>
        <w:pStyle w:val="Normal"/>
        <w:widowControl/>
        <w:numPr>
          <w:ilvl w:val="0"/>
          <w:numId w:val="5"/>
        </w:numPr>
        <w:ind w:left="567" w:hanging="283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Protokół z pomiaru musi zawierać co najmniej dane określone w normie PN-EN 671-3, a ponadto:</w:t>
      </w:r>
    </w:p>
    <w:p>
      <w:pPr>
        <w:pStyle w:val="Normal"/>
        <w:widowControl/>
        <w:numPr>
          <w:ilvl w:val="0"/>
          <w:numId w:val="6"/>
        </w:numPr>
        <w:ind w:left="993" w:hanging="426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typ, numer seryjny oraz potwierdzenie legalizacji miernika stosowanego do pomiaru ciśnienia,</w:t>
      </w:r>
    </w:p>
    <w:p>
      <w:pPr>
        <w:pStyle w:val="Normal"/>
        <w:widowControl/>
        <w:numPr>
          <w:ilvl w:val="0"/>
          <w:numId w:val="6"/>
        </w:numPr>
        <w:ind w:left="993" w:hanging="426"/>
        <w:jc w:val="both"/>
        <w:rPr>
          <w:rFonts w:ascii="Arial" w:hAnsi="Arial" w:eastAsia="Times New Roman" w:cs="Arial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imiona i nazwiska oraz podpisy osób wykonujących pomiary.</w:t>
      </w:r>
    </w:p>
    <w:p>
      <w:pPr>
        <w:pStyle w:val="Normal"/>
        <w:widowControl/>
        <w:numPr>
          <w:ilvl w:val="0"/>
          <w:numId w:val="5"/>
        </w:numPr>
        <w:suppressAutoHyphens w:val="false"/>
        <w:ind w:left="567" w:hanging="283"/>
        <w:rPr>
          <w:rFonts w:ascii="Arial" w:hAnsi="Arial" w:eastAsia="Times New Roman" w:cs="Arial"/>
          <w:u w:val="single"/>
          <w:lang w:eastAsia="pl-PL" w:bidi="ar-SA"/>
        </w:rPr>
      </w:pPr>
      <w:r>
        <w:rPr>
          <w:rFonts w:eastAsia="Times New Roman" w:cs="Arial"/>
          <w:sz w:val="26"/>
          <w:szCs w:val="26"/>
          <w:lang w:eastAsia="pl-PL" w:bidi="ar-SA"/>
        </w:rPr>
        <w:t>Po wykonaniu pomiarów wszystkie węże muszą zostać wysuszone.</w:t>
      </w:r>
    </w:p>
    <w:p>
      <w:pPr>
        <w:pStyle w:val="Normal"/>
        <w:rPr>
          <w:rFonts w:ascii="Times New Roman" w:hAnsi="Times New Roman"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830" w:leader="none"/>
        </w:tabs>
        <w:rPr/>
      </w:pPr>
      <w:r>
        <w:rPr>
          <w:rFonts w:cs="Arial" w:ascii="Arial" w:hAnsi="Arial"/>
        </w:rPr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center"/>
      <w:pPr>
        <w:ind w:left="3762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center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."/>
      <w:lvlJc w:val="center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f9033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d1f58"/>
    <w:rPr>
      <w:rFonts w:ascii="Segoe UI" w:hAnsi="Segoe UI" w:eastAsia="SimSun" w:cs="Mangal"/>
      <w:sz w:val="18"/>
      <w:szCs w:val="16"/>
      <w:lang w:eastAsia="hi-IN" w:bidi="hi-I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Arial" w:hAnsi="Arial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ascii="Arial" w:hAnsi="Arial"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  <w:sz w:val="18"/>
      <w:szCs w:val="18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ascii="Arial" w:hAnsi="Arial"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ascii="Arial" w:hAnsi="Arial"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ascii="Arial" w:hAnsi="Arial"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ascii="Arial" w:hAnsi="Arial"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ascii="Arial" w:hAnsi="Arial"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ascii="Arial" w:hAnsi="Arial"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ascii="Arial" w:hAnsi="Arial" w:cs="Symbol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ascii="Arial" w:hAnsi="Arial"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ascii="Arial" w:hAnsi="Arial"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ascii="Arial" w:hAnsi="Arial"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ascii="Arial" w:hAnsi="Arial"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ascii="Arial" w:hAnsi="Arial"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ascii="Arial" w:hAnsi="Arial" w:cs="Symbol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ascii="Arial" w:hAnsi="Arial"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ascii="Arial" w:hAnsi="Arial"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ascii="Arial" w:hAnsi="Arial"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ascii="Arial" w:hAnsi="Arial"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ascii="Arial" w:hAnsi="Arial"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ascii="Arial" w:hAnsi="Arial" w:cs="Symbol"/>
    </w:rPr>
  </w:style>
  <w:style w:type="character" w:styleId="ListLabel208">
    <w:name w:val="ListLabel 208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84bee"/>
    <w:pPr>
      <w:spacing w:before="0" w:after="0"/>
      <w:ind w:left="720" w:hanging="0"/>
      <w:contextualSpacing/>
    </w:pPr>
    <w:rPr>
      <w:szCs w:val="21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d1f58"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LibreOffice/6.0.6.2$Windows_X86_64 LibreOffice_project/0c292870b25a325b5ed35f6b45599d2ea4458e77</Application>
  <Pages>3</Pages>
  <Words>659</Words>
  <Characters>4295</Characters>
  <CharactersWithSpaces>5463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2016-08-22T11:01:00Z</dcterms:created>
  <dc:creator>ANTONI LEWANDOWSKI</dc:creator>
  <dc:description/>
  <dc:language>pl-PL</dc:language>
  <cp:lastModifiedBy/>
  <cp:lastPrinted>2016-08-29T06:51:00Z</cp:lastPrinted>
  <dcterms:modified xsi:type="dcterms:W3CDTF">2018-10-01T09:28:30Z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