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ascii="Times New Roman" w:hAnsi="Times New Roman"/>
          <w:sz w:val="24"/>
          <w:szCs w:val="24"/>
        </w:rPr>
        <w:t>Załącznik nr 3 do SIWZ – Opis przedmiotu zamówienia</w:t>
      </w:r>
    </w:p>
    <w:p>
      <w:pPr>
        <w:pStyle w:val="Normal"/>
        <w:jc w:val="center"/>
        <w:rPr/>
      </w:pPr>
      <w:bookmarkStart w:id="0" w:name="__DdeLink__749_2745122011"/>
      <w:r>
        <w:rPr>
          <w:rFonts w:ascii="Times New Roman" w:hAnsi="Times New Roman"/>
          <w:b/>
          <w:sz w:val="24"/>
          <w:szCs w:val="24"/>
        </w:rPr>
        <w:t xml:space="preserve">Pakiet 3  </w:t>
      </w:r>
      <w:bookmarkEnd w:id="0"/>
      <w:r>
        <w:rPr>
          <w:rFonts w:ascii="Times New Roman" w:hAnsi="Times New Roman"/>
          <w:b/>
          <w:sz w:val="24"/>
          <w:szCs w:val="24"/>
        </w:rPr>
        <w:t>Zestaw do zabiegów ablacji RF z dzierżawą i obsługą systemu do w/w zabiegów</w:t>
      </w:r>
    </w:p>
    <w:p>
      <w:pPr>
        <w:pStyle w:val="Normal"/>
        <w:rPr/>
      </w:pPr>
      <w:r>
        <w:rPr>
          <w:rFonts w:ascii="Times New Roman" w:hAnsi="Times New Roman"/>
          <w:b/>
        </w:rPr>
        <w:t>Pkt 1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6"/>
        <w:gridCol w:w="963"/>
        <w:gridCol w:w="4201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diagnostyczna niesterowalna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4-polowa Ilość 10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10-polowa Ilość 10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6F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115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4 i 10 do wyboru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Dostępne krzywizny Cournand, Josephson, Damato, typu HIS dla 4 polowych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Dostępna krzywizna CS dla 10 polowych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Dostępne odległości między biegunami co najmniej: 5mm, 2-5-2 mm,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6. Elektrody wykoane z materiału tłumiącego drgania z podwójnym zbrojeniem cewnika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6F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6F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=115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115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2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diagnostycznej niesterowalnej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do 4 polowej Ilość 2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3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6"/>
        <w:gridCol w:w="963"/>
        <w:gridCol w:w="4201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diagnostyczna sterowalna do mapowania zatoki wieńcowej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Ilość 3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6F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110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8 i 10 do wyboru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Zmienna krzywizna zgięcia dedykowana CS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Dostępne odległości między biegunami: 5mm, 2-5-2 mm, 2-6-2mm, 2-10-2 mm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6. </w:t>
            </w:r>
            <w:r>
              <w:rPr>
                <w:rFonts w:ascii="Times New Roman" w:hAnsi="Times New Roman"/>
              </w:rPr>
              <w:t>Przeniesienie ruchu obrotowego elektrody na całej jej długości (mikroobrót shaftu) w stosunku 1:1 bezpośrednio z mechanizmu Push-Pull sterowania zagięciem krzywizny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6F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6F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4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diagnostycznej sterowalnej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Ilość 2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5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6"/>
        <w:gridCol w:w="963"/>
        <w:gridCol w:w="4201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diagnostyczna sterowalna 20 polowa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Ilość 3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7F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100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20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Zmienna krzywizna zgięcia do mapowania prawego przedsionka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Dostępne odległości między biegunami: 5mm, 2-8-2 mm, 2-10-2 mm, 2-5-2 mm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6. Dostępna elektroda z odległościami 2-8-2, 60,  2-8-2 mm</w:t>
            </w:r>
          </w:p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7F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7F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=100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100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6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diagnostycznej sterowalnej 20 polowa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Ilość 2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7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6"/>
        <w:gridCol w:w="963"/>
        <w:gridCol w:w="4201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ablacyjna klasyczna i irygowana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Klasyczna Ilość 7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Irygowana Ilość 5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Dreny do pompy Ilość 6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8F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110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Końcówka elektrody 4mm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Zmienna krzywizna zgięcia dwukierunkowa w jednej płaszczyźnie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6. Dostępne co najmniej 3 krzywizny w tym asymetryczna do wyboru</w:t>
            </w:r>
          </w:p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78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8F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8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ablacyjnej do generatora RF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do klasycznej Ilość 2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do irygowanej Ilość 2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</w:rPr>
        <w:t>Pkt 9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Koszulka transseptalna zbrojona i kompatybilna igła transseptalna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Koszulka Ilość 6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Igła Ilość 3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/>
            </w:pPr>
            <w:r>
              <w:rPr>
                <w:sz w:val="22"/>
                <w:szCs w:val="22"/>
              </w:rPr>
              <w:t xml:space="preserve">Koszulki transseptalne zbrojone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/>
            </w:pPr>
            <w:r>
              <w:rPr>
                <w:sz w:val="22"/>
                <w:szCs w:val="22"/>
              </w:rPr>
              <w:t>Koszulka w komplecie  z rozszerzaczem i prowadnikiem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/>
            </w:pPr>
            <w:r>
              <w:rPr>
                <w:sz w:val="22"/>
                <w:szCs w:val="22"/>
              </w:rPr>
              <w:t>Koszulki o dostępnym zagięciu 15, 30, 55, 90, 120, 150 stopni do wyboru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/>
            </w:pPr>
            <w:r>
              <w:rPr>
                <w:sz w:val="22"/>
                <w:szCs w:val="22"/>
              </w:rPr>
              <w:t>koszulka dostępna w długościach 60cm, 79,4cm do wyboru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/>
            </w:pPr>
            <w:r>
              <w:rPr>
                <w:sz w:val="22"/>
                <w:szCs w:val="22"/>
              </w:rPr>
              <w:t>Co najmniej dwa otwory irygacyjne na końcówce dystalnej koszulki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/>
            </w:pPr>
            <w:r>
              <w:rPr>
                <w:sz w:val="22"/>
                <w:szCs w:val="22"/>
              </w:rPr>
              <w:t>Koszulka wyposażona w marker cieniujący w obrazie RTG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/>
            </w:pPr>
            <w:r>
              <w:rPr>
                <w:sz w:val="22"/>
                <w:szCs w:val="22"/>
              </w:rPr>
              <w:t>Koszulka wyposażona w zastawkę hemostatyczną i kranik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/>
            </w:pPr>
            <w:r>
              <w:rPr>
                <w:sz w:val="22"/>
                <w:szCs w:val="22"/>
              </w:rPr>
              <w:t xml:space="preserve">Igła do nakłucia transseptalnego kompatybilna z koszulką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rPr/>
            </w:pPr>
            <w:r>
              <w:rPr>
                <w:sz w:val="22"/>
                <w:szCs w:val="22"/>
              </w:rPr>
              <w:t>Igła dostępna w długościach 71cm, 89cm, 98cm do wyboru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</w:rPr>
              <w:t>Igły o dostępnym zagięciu 50, 86 stopni do wyboru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Arial Narrow" w:hAnsi="Arial Narrow"/>
                <w:sz w:val="20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</w:rPr>
        <w:t>Pkt. 10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</w:rPr>
              <w:t>Dzierżawa sytemu elektrofizjologicznego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>Ilość – 3 sesje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……………………. 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napToGrid w:val="false"/>
              <w:rPr/>
            </w:pPr>
            <w:r>
              <w:rPr>
                <w:sz w:val="22"/>
                <w:szCs w:val="22"/>
              </w:rPr>
              <w:t>Dzierżawa systemu elektrofizjologicznego na czas sesji zabiegowej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bookmarkStart w:id="1" w:name="__DdeLink__3066_2076322326"/>
            <w:bookmarkEnd w:id="1"/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0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Tretekstu"/>
        <w:tabs>
          <w:tab w:val="left" w:pos="644" w:leader="none"/>
        </w:tabs>
        <w:spacing w:lineRule="atLeast" w:line="100" w:before="20" w:after="20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</w:r>
    </w:p>
    <w:p>
      <w:pPr>
        <w:pStyle w:val="Tretekstu"/>
        <w:tabs>
          <w:tab w:val="left" w:pos="644" w:leader="none"/>
        </w:tabs>
        <w:spacing w:lineRule="atLeast" w:line="100" w:before="20" w:after="20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</w:r>
    </w:p>
    <w:p>
      <w:pPr>
        <w:pStyle w:val="Tretekstu"/>
        <w:tabs>
          <w:tab w:val="left" w:pos="644" w:leader="none"/>
        </w:tabs>
        <w:spacing w:lineRule="atLeast" w:line="100" w:before="20" w:after="20"/>
        <w:jc w:val="both"/>
        <w:rPr/>
      </w:pPr>
      <w:bookmarkStart w:id="2" w:name="_GoBack"/>
      <w:bookmarkEnd w:id="2"/>
      <w:r>
        <w:rPr>
          <w:sz w:val="22"/>
          <w:szCs w:val="22"/>
          <w:lang w:bidi="pl-PL"/>
        </w:rPr>
        <w:t>Parametry określone w kolumnie nr 1 są parametrami granicznymi, których nie spełnienie spowoduje odrzucenie oferty</w:t>
      </w:r>
    </w:p>
    <w:p>
      <w:pPr>
        <w:pStyle w:val="Tretekstu"/>
        <w:tabs>
          <w:tab w:val="left" w:pos="644" w:leader="none"/>
        </w:tabs>
        <w:spacing w:lineRule="atLeast" w:line="100" w:before="20" w:after="20"/>
        <w:jc w:val="both"/>
        <w:rPr>
          <w:rFonts w:cs="Times New Roman"/>
          <w:sz w:val="22"/>
          <w:szCs w:val="22"/>
          <w:lang w:eastAsia="pl-PL" w:bidi="pl-PL"/>
        </w:rPr>
      </w:pPr>
      <w:r>
        <w:rPr>
          <w:rFonts w:cs="Times New Roman"/>
          <w:sz w:val="22"/>
          <w:szCs w:val="22"/>
          <w:lang w:eastAsia="pl-PL" w:bidi="pl-PL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Potwierdzam zgodność merytoryczną i ilościową przedmiotu zamówienia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Upełnomocniony przedstawiciel (e) Wykonawcy:</w:t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…</w:t>
      </w:r>
      <w:r>
        <w:rPr>
          <w:rFonts w:cs="Times New Roman" w:ascii="Times New Roman" w:hAnsi="Times New Roman"/>
          <w:sz w:val="22"/>
          <w:szCs w:val="22"/>
        </w:rPr>
        <w:t>..............................................................</w:t>
      </w:r>
    </w:p>
    <w:p>
      <w:pPr>
        <w:pStyle w:val="Normal"/>
        <w:ind w:left="5664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(podpis Wykonawcy)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....................................... dnia ........................... r.</w:t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1134" w:top="1700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0" w:right="0" w:hanging="0"/>
      <w:rPr/>
    </w:pPr>
    <w:r>
      <w:rPr>
        <w:rFonts w:ascii="Times New Roman" w:hAnsi="Times New Roman"/>
        <w:sz w:val="22"/>
        <w:szCs w:val="22"/>
      </w:rPr>
      <w:t>Oznaczenie sprawy: WSz – II.4.291.6.2018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9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693a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64d38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f64d38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f64d38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rsid w:val="00f64d38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f64d3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LibreOffice/5.3.7.2$Windows_X86_64 LibreOffice_project/6b8ed514a9f8b44d37a1b96673cbbdd077e24059</Application>
  <Pages>6</Pages>
  <Words>857</Words>
  <Characters>5144</Characters>
  <CharactersWithSpaces>5884</CharactersWithSpaces>
  <Paragraphs>199</Paragraphs>
  <Company>Medtronic,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2017-10-10T13:39:00Z</dcterms:created>
  <dc:creator>Czaja, Marcin</dc:creator>
  <dc:description/>
  <dc:language>pl-PL</dc:language>
  <cp:lastModifiedBy/>
  <cp:lastPrinted>2018-01-25T09:19:42Z</cp:lastPrinted>
  <dcterms:modified xsi:type="dcterms:W3CDTF">2018-01-25T09:21:43Z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Medtronic,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